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BE2" w:rsidRDefault="00640BE2" w:rsidP="00640B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26908">
        <w:rPr>
          <w:rFonts w:ascii="Times New Roman" w:hAnsi="Times New Roman" w:cs="Times New Roman"/>
          <w:b/>
          <w:sz w:val="28"/>
          <w:szCs w:val="28"/>
        </w:rPr>
        <w:t xml:space="preserve">Основные новеллы в Методических рекомендациях по вопросам представления сведений о доходах, расходах, об имуществе и обязательствах имущественного </w:t>
      </w:r>
      <w:r w:rsidRPr="004374EE">
        <w:rPr>
          <w:rFonts w:ascii="Times New Roman" w:hAnsi="Times New Roman" w:cs="Times New Roman"/>
          <w:b/>
          <w:sz w:val="28"/>
          <w:szCs w:val="28"/>
        </w:rPr>
        <w:t xml:space="preserve">характера и заполнения соответствующей формы справки </w:t>
      </w:r>
      <w:r w:rsidRPr="004374EE">
        <w:rPr>
          <w:rFonts w:ascii="Times New Roman" w:hAnsi="Times New Roman" w:cs="Times New Roman"/>
          <w:b/>
          <w:sz w:val="28"/>
          <w:szCs w:val="28"/>
        </w:rPr>
        <w:br/>
        <w:t>в 2023 году (за отчетный 2022 год)</w:t>
      </w:r>
    </w:p>
    <w:p w:rsidR="00640BE2" w:rsidRPr="00A26908" w:rsidRDefault="00640BE2" w:rsidP="00640B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0BE2" w:rsidRDefault="00640BE2" w:rsidP="00640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2B9">
        <w:rPr>
          <w:rFonts w:ascii="Times New Roman" w:hAnsi="Times New Roman" w:cs="Times New Roman"/>
          <w:sz w:val="28"/>
          <w:szCs w:val="28"/>
        </w:rPr>
        <w:lastRenderedPageBreak/>
        <w:t>В течение последних лет является устоявшейся практик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32B9">
        <w:rPr>
          <w:rFonts w:ascii="Times New Roman" w:hAnsi="Times New Roman" w:cs="Times New Roman"/>
          <w:sz w:val="28"/>
          <w:szCs w:val="28"/>
        </w:rPr>
        <w:t xml:space="preserve"> подготовк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3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труда и социальной защиты Российской Федерации ежегодно обновляемых </w:t>
      </w:r>
      <w:r w:rsidRPr="001532B9">
        <w:rPr>
          <w:rFonts w:ascii="Times New Roman" w:hAnsi="Times New Roman" w:cs="Times New Roman"/>
          <w:sz w:val="28"/>
          <w:szCs w:val="28"/>
        </w:rPr>
        <w:t xml:space="preserve">Методических рекомендаций по вопросам представления сведений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1532B9"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1532B9">
        <w:rPr>
          <w:rFonts w:ascii="Times New Roman" w:hAnsi="Times New Roman" w:cs="Times New Roman"/>
          <w:sz w:val="28"/>
          <w:szCs w:val="28"/>
        </w:rPr>
        <w:lastRenderedPageBreak/>
        <w:t>и заполнения соответствующей формы справки</w:t>
      </w:r>
      <w:r>
        <w:rPr>
          <w:rFonts w:ascii="Times New Roman" w:hAnsi="Times New Roman" w:cs="Times New Roman"/>
          <w:sz w:val="28"/>
          <w:szCs w:val="28"/>
        </w:rPr>
        <w:t xml:space="preserve"> (далее – Методические рекомендации, сведения соответственно), размещения их на официальном сайте Минтруда России.</w:t>
      </w:r>
    </w:p>
    <w:p w:rsidR="00640BE2" w:rsidRDefault="00640BE2" w:rsidP="00640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C20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для применения в ходе декларационной кампании 2023 года (за отчетный 2022 год) подготовлены Министерством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участии Администрации Президента Российской Федерации, Центрального банка Российской Федерации, Генеральной прокуратуры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и иных заинтересованных федеральных государственных органов.</w:t>
      </w:r>
    </w:p>
    <w:p w:rsidR="00640BE2" w:rsidRDefault="00640BE2" w:rsidP="00640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использования в работе указанных Методических рекомендаций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предлагаем обратить внимание на следующее.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рекомендации учитывают особенности представления сведений лицами, замещающими публичные должности на территориях Донецкой Народной Республики, Луганской Народной Республики, Запорожской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и Херсонской области, а также отдельными категориями лиц в связи с проведением специальной военной операции.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Методических рекомендациях предлагается определенная иерархия организации работы по оказанию консультативной и методической помощи </w:t>
      </w:r>
      <w:r>
        <w:rPr>
          <w:rFonts w:ascii="Times New Roman" w:hAnsi="Times New Roman" w:cs="Times New Roman"/>
          <w:sz w:val="28"/>
          <w:szCs w:val="28"/>
        </w:rPr>
        <w:br/>
        <w:t>в представлении сведений.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пункте 20 Методических рекомендаций подчеркнуто, </w:t>
      </w:r>
      <w:r>
        <w:rPr>
          <w:rFonts w:ascii="Times New Roman" w:hAnsi="Times New Roman" w:cs="Times New Roman"/>
          <w:sz w:val="28"/>
          <w:szCs w:val="28"/>
        </w:rPr>
        <w:br/>
        <w:t>что квалифицирующим признаком для возникновения обязанности представить сведения в рамках декларационной кампании, по общему правилу, являются правоотношения, имеющиеся на 31 декабря отчетного года.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Отмечено, что уточненные сведения за предыдущие декларационные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кампании не представляются, но в рамках текущей декларационной кампании </w:t>
      </w:r>
      <w:r>
        <w:rPr>
          <w:rFonts w:ascii="Times New Roman" w:hAnsi="Times New Roman" w:cs="Times New Roman"/>
          <w:sz w:val="28"/>
          <w:szCs w:val="28"/>
        </w:rPr>
        <w:br/>
        <w:t>к сведениям могут быть приложены применимые пояснения (пункт 37 Методических рекомендаций).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44 Методических рекомендаций отдельно указаны полномочия субъектов Российской Федерации </w:t>
      </w:r>
      <w:r>
        <w:rPr>
          <w:rFonts w:ascii="Times New Roman" w:hAnsi="Times New Roman" w:cs="Times New Roman"/>
          <w:sz w:val="28"/>
          <w:szCs w:val="28"/>
        </w:rPr>
        <w:lastRenderedPageBreak/>
        <w:t>и муниципальных образований в регулировании вопросов невозможности представления сведений отдельными категориями лиц.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Указана необходимость оценки использования актуальной версии специального программного обеспечения "Справки БК" на дату представления сведений.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пункте 53 Методических рекомендаций обращено внимание </w:t>
      </w:r>
      <w:r>
        <w:rPr>
          <w:rFonts w:ascii="Times New Roman" w:hAnsi="Times New Roman" w:cs="Times New Roman"/>
          <w:sz w:val="28"/>
          <w:szCs w:val="28"/>
        </w:rPr>
        <w:br/>
        <w:t>на ситуации, получения денежных средств от реализации товаров (работ или услуг) и одновременном их распоряжении в пользу третьих лиц.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Актуализирован перечень выплат, которые могут быть признаны доходом для целей законодательства Рос</w:t>
      </w:r>
      <w:r>
        <w:rPr>
          <w:rFonts w:ascii="Times New Roman" w:hAnsi="Times New Roman" w:cs="Times New Roman"/>
          <w:sz w:val="28"/>
          <w:szCs w:val="28"/>
        </w:rPr>
        <w:lastRenderedPageBreak/>
        <w:t>сийской Федерации о противодействии коррупции, а также перечень денежных средств, которые не являются таким доходом.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возникающие на практике вопросы повторно отмечаем, </w:t>
      </w:r>
      <w:r>
        <w:rPr>
          <w:rFonts w:ascii="Times New Roman" w:hAnsi="Times New Roman" w:cs="Times New Roman"/>
          <w:sz w:val="28"/>
          <w:szCs w:val="28"/>
        </w:rPr>
        <w:br/>
        <w:t xml:space="preserve">что </w:t>
      </w:r>
      <w:r w:rsidRPr="00916DC0">
        <w:rPr>
          <w:rFonts w:ascii="Times New Roman" w:hAnsi="Times New Roman" w:cs="Times New Roman"/>
          <w:sz w:val="28"/>
          <w:szCs w:val="28"/>
        </w:rPr>
        <w:t>доход от операций с ценными бумагами выражается в величине суммы финансового результата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Уточнены положения Методических рекомендаций, касающиеся цифровых финансовых инструментов.</w:t>
      </w:r>
    </w:p>
    <w:p w:rsidR="00640BE2" w:rsidRDefault="00640BE2" w:rsidP="00640BE2">
      <w:pPr>
        <w:pStyle w:val="a3"/>
        <w:numPr>
          <w:ilvl w:val="0"/>
          <w:numId w:val="1"/>
        </w:numPr>
        <w:tabs>
          <w:tab w:val="left" w:pos="-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181 Методических рекомендаций акцентировано внимание </w:t>
      </w:r>
      <w:r>
        <w:rPr>
          <w:rFonts w:ascii="Times New Roman" w:hAnsi="Times New Roman" w:cs="Times New Roman"/>
          <w:sz w:val="28"/>
          <w:szCs w:val="28"/>
        </w:rPr>
        <w:br/>
        <w:t>на особенностях владения инвестиционными паями паевых инвестиционных фондов.</w:t>
      </w:r>
    </w:p>
    <w:p w:rsidR="00640BE2" w:rsidRPr="00DB5C5E" w:rsidRDefault="00640BE2" w:rsidP="00640BE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Положения Методических рекомендаций в целом актуализированы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с учетом изменений нормативных правовых актов Российской Федерации.</w:t>
      </w:r>
    </w:p>
    <w:p w:rsidR="00CC063D" w:rsidRDefault="00CC063D"/>
    <w:sectPr w:rsidR="00CC063D" w:rsidSect="008C619D">
      <w:pgSz w:w="11905" w:h="16838"/>
      <w:pgMar w:top="1134" w:right="567" w:bottom="1134" w:left="1134" w:header="284" w:footer="686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1F1FD6"/>
    <w:multiLevelType w:val="hybridMultilevel"/>
    <w:tmpl w:val="2398CE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BE2"/>
    <w:rsid w:val="00640BE2"/>
    <w:rsid w:val="008C619D"/>
    <w:rsid w:val="00911FCB"/>
    <w:rsid w:val="00A43E37"/>
    <w:rsid w:val="00BC7D8C"/>
    <w:rsid w:val="00CC063D"/>
    <w:rsid w:val="00E3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AAE31A-C12D-4315-8F8E-BFDD9CC1D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BE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Рогожникова Марина Юрьевна</cp:lastModifiedBy>
  <cp:revision>2</cp:revision>
  <dcterms:created xsi:type="dcterms:W3CDTF">2023-01-12T09:47:00Z</dcterms:created>
  <dcterms:modified xsi:type="dcterms:W3CDTF">2023-01-12T09:47:00Z</dcterms:modified>
</cp:coreProperties>
</file>